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2511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3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C2511">
            <w:pPr>
              <w:rPr>
                <w:rFonts w:eastAsia="Times New Roman"/>
                <w:color w:val="000000"/>
              </w:rPr>
            </w:pPr>
          </w:p>
        </w:tc>
      </w:tr>
    </w:tbl>
    <w:p w:rsidR="00000000" w:rsidRDefault="00DC2511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4286"/>
        <w:gridCol w:w="180"/>
        <w:gridCol w:w="821"/>
        <w:gridCol w:w="180"/>
        <w:gridCol w:w="4389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24.02.2020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2/21022020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Бойко Олег Сергiйович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DC2511">
      <w:pPr>
        <w:rPr>
          <w:rFonts w:eastAsia="Times New Roman"/>
          <w:color w:val="000000"/>
        </w:rPr>
      </w:pPr>
    </w:p>
    <w:p w:rsidR="00000000" w:rsidRDefault="00DC2511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DC2511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"ОБЕРIГ"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</w:t>
            </w:r>
            <w:r>
              <w:rPr>
                <w:rFonts w:eastAsia="Times New Roman"/>
                <w:color w:val="000000"/>
              </w:rPr>
              <w:t xml:space="preserve">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55330, Миколаївська обл., Миколаївська обл. Арбузинський район, с. Семенiвка, вул.Шкiльна , 44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31976385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05132 3-11-90 05132 3-11-90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31976385@oberig.pat.u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</w:t>
            </w:r>
            <w:r>
              <w:rPr>
                <w:rFonts w:eastAsia="Times New Roman"/>
                <w:color w:val="000000"/>
              </w:rPr>
              <w:t xml:space="preserve"> особи, яка здійснює оприлюднення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 "АРIФРУ"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DC2511">
      <w:pPr>
        <w:rPr>
          <w:rFonts w:eastAsia="Times New Roman"/>
          <w:color w:val="000000"/>
        </w:rPr>
      </w:pPr>
    </w:p>
    <w:p w:rsidR="00000000" w:rsidRDefault="00DC2511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4"/>
        <w:gridCol w:w="1581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</w:t>
            </w:r>
            <w:r>
              <w:rPr>
                <w:rFonts w:eastAsia="Times New Roman"/>
                <w:color w:val="000000"/>
              </w:rPr>
              <w:t>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oberig.pat.ua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24.02.2020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DC2511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DC2511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прийняття рішення про попереднє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968"/>
        <w:gridCol w:w="2968"/>
        <w:gridCol w:w="3710"/>
        <w:gridCol w:w="4452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Гранична сукупна вартість правочинів (тис. грн)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Співвідношення граничної сукупності вартості правочинів до вартості активів емітента за даними останньої річної фінансової </w:t>
            </w:r>
            <w:r>
              <w:rPr>
                <w:rFonts w:eastAsia="Times New Roman"/>
                <w:b/>
                <w:bCs/>
                <w:color w:val="000000"/>
              </w:rPr>
              <w:t>звітності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21.02.2020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117435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42.5767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C2511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21.02.2020 р. Загальними зборами акцiонерiв Приватного акцiонерного товариства «Оберiг» (Протокол №1 вiд 21.02.2020 р.)прийнято рiшення про попередне надання згоди на вчинення значних правочинiв.А саме укладання будь-яких змiн до договору про надання банкi</w:t>
            </w:r>
            <w:r>
              <w:rPr>
                <w:rFonts w:eastAsia="Times New Roman"/>
                <w:color w:val="000000"/>
              </w:rPr>
              <w:t>вських послуг № 9/1088144/1088328 вiд 14.12.2016 р. мiж Товариством (солiдарною вiдповiдальнiстю Приватного акцiонерного товариства «Оберiг», код ЄДРПОУ 31976385 та Товариства з обмеженою вiдповiдальнiстю «Семенiвський агросервiс», код ЄДРПОУ 30954067 (сол</w:t>
            </w:r>
            <w:r>
              <w:rPr>
                <w:rFonts w:eastAsia="Times New Roman"/>
                <w:color w:val="000000"/>
              </w:rPr>
              <w:t>iдарнi божники/поручителi) та ПАТ «КРЕДI АГРIКОЛЬ БАНК» та будь-яких банкiвських послуг (кредити, гарантiї, авалi, овердрафти, акредитиви, тощо) за вказаним договором про надання банкiвських послуг в межах генерального лiмiту та генерального строку, необхi</w:t>
            </w:r>
            <w:r>
              <w:rPr>
                <w:rFonts w:eastAsia="Times New Roman"/>
                <w:color w:val="000000"/>
              </w:rPr>
              <w:t>дних для ведення господарської дiяльностi, укладення змiн до дiючих договорiв забезпечення в забезпечення виконання боргових зобов’язань за вищезазначеним договором про надання банкiвських послуг, на укладення нових договорiв забезпечення щодо передачi в з</w:t>
            </w:r>
            <w:r>
              <w:rPr>
                <w:rFonts w:eastAsia="Times New Roman"/>
                <w:color w:val="000000"/>
              </w:rPr>
              <w:t>аставу/iпотеку рухомого та нерухомого майна в забезпечення виконання боргових зобов’язань за вищезазначеним договором про надання банкiвських послуг та будь-якi додатковi угоди до вказаних договорiв. Загальна гранична сукупна вартiсть складає 50 000 000 гр</w:t>
            </w:r>
            <w:r>
              <w:rPr>
                <w:rFonts w:eastAsia="Times New Roman"/>
                <w:color w:val="000000"/>
              </w:rPr>
              <w:t>н. Вартiсть активiв емiтента за даними останньої рiчної фiнансової звiтностi становить117435 тис. грн. Спiввiдношення ринкової вартостi майна або послуг, що є предметом правочину, до вартостi активiв емiтента за даними останньої рiчної фiнансової звiтностi</w:t>
            </w:r>
            <w:r>
              <w:rPr>
                <w:rFonts w:eastAsia="Times New Roman"/>
                <w:color w:val="000000"/>
              </w:rPr>
              <w:t xml:space="preserve"> становить 42.5767 %. Загальна кiлькiсть голосуючих акцiй 4500 шт., кiлькiсть голосуючих акцiй, що зареєстрованi для участi у загальних зборах 4500 шт., кiлькiсть голосуючих акцiй, що проголосували «за» - 4500, «проти» - 0 . </w:t>
            </w:r>
          </w:p>
        </w:tc>
      </w:tr>
    </w:tbl>
    <w:p w:rsidR="00000000" w:rsidRDefault="00DC2511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2511"/>
    <w:rsid w:val="00D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B9377-71CA-4E92-99B0-04B200FB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2020-02-24T16:37:00Z</dcterms:created>
  <dcterms:modified xsi:type="dcterms:W3CDTF">2020-02-24T16:37:00Z</dcterms:modified>
</cp:coreProperties>
</file>